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98" w:hanging="994"/>
        <w:jc w:val="right"/>
      </w:pPr>
      <w:r>
        <w:rPr/>
        <w:t>ADOPTED – OCTOBER 27, 2026 AGENDA ITEM NO. 11</w:t>
      </w:r>
    </w:p>
    <w:p>
      <w:pPr>
        <w:pStyle w:val="BodyText"/>
        <w:spacing w:before="7"/>
        <w:rPr>
          <w:b/>
          <w:sz w:val="16"/>
        </w:rPr>
      </w:pPr>
    </w:p>
    <w:p>
      <w:pPr>
        <w:pStyle w:val="BodyText"/>
        <w:spacing w:before="90"/>
        <w:ind w:left="120"/>
      </w:pPr>
      <w:r>
        <w:rPr/>
        <w:t>Introduced by County Services and Finance Committees of the:</w:t>
      </w:r>
    </w:p>
    <w:p>
      <w:pPr>
        <w:pStyle w:val="BodyText"/>
      </w:pPr>
    </w:p>
    <w:p>
      <w:pPr>
        <w:pStyle w:val="BodyText"/>
        <w:ind w:left="258" w:right="242"/>
        <w:jc w:val="center"/>
      </w:pPr>
      <w:r>
        <w:rPr/>
        <w:t>INGHAM COUNTY BOARD OF COMMISSIONERS</w:t>
      </w:r>
    </w:p>
    <w:p>
      <w:pPr>
        <w:pStyle w:val="BodyText"/>
      </w:pPr>
    </w:p>
    <w:p>
      <w:pPr>
        <w:pStyle w:val="Heading1"/>
      </w:pPr>
      <w:r>
        <w:rPr/>
        <w:t>RESOLUTION TO APPROVE THE RENEWAL OF FIBER MONITORING AND MAINTENANCE FROM WESTERN TEL-COM</w:t>
      </w:r>
    </w:p>
    <w:p>
      <w:pPr>
        <w:pStyle w:val="BodyText"/>
        <w:rPr>
          <w:b/>
        </w:rPr>
      </w:pPr>
    </w:p>
    <w:p>
      <w:pPr>
        <w:spacing w:before="0"/>
        <w:ind w:left="262" w:right="242" w:firstLine="0"/>
        <w:jc w:val="center"/>
        <w:rPr>
          <w:b/>
          <w:sz w:val="24"/>
        </w:rPr>
      </w:pPr>
      <w:r>
        <w:rPr>
          <w:b/>
          <w:sz w:val="24"/>
        </w:rPr>
        <w:t>RESOLUTION #26 – 522</w:t>
      </w:r>
    </w:p>
    <w:p>
      <w:pPr>
        <w:pStyle w:val="BodyText"/>
        <w:rPr>
          <w:b/>
          <w:sz w:val="26"/>
        </w:rPr>
      </w:pPr>
    </w:p>
    <w:p>
      <w:pPr>
        <w:pStyle w:val="BodyText"/>
        <w:rPr>
          <w:b/>
          <w:sz w:val="22"/>
        </w:rPr>
      </w:pPr>
    </w:p>
    <w:p>
      <w:pPr>
        <w:pStyle w:val="BodyText"/>
        <w:ind w:left="119"/>
      </w:pPr>
      <w:r>
        <w:rPr/>
        <w:t>WHEREAS, Ingham County currently has a fiber network in place between many of our County facilities; and</w:t>
      </w:r>
    </w:p>
    <w:p>
      <w:pPr>
        <w:pStyle w:val="BodyText"/>
      </w:pPr>
    </w:p>
    <w:p>
      <w:pPr>
        <w:pStyle w:val="BodyText"/>
        <w:ind w:left="119"/>
      </w:pPr>
      <w:r>
        <w:rPr/>
        <w:t>WHEREAS, said fiber runs between these facilities through right of ways and public access where incidents</w:t>
      </w:r>
      <w:r>
        <w:rPr>
          <w:spacing w:val="-28"/>
        </w:rPr>
        <w:t> </w:t>
      </w:r>
      <w:r>
        <w:rPr/>
        <w:t>can happen due to accidents or construction that may affect our fiber;</w:t>
      </w:r>
      <w:r>
        <w:rPr>
          <w:spacing w:val="-6"/>
        </w:rPr>
        <w:t> </w:t>
      </w:r>
      <w:r>
        <w:rPr/>
        <w:t>and</w:t>
      </w:r>
    </w:p>
    <w:p>
      <w:pPr>
        <w:pStyle w:val="BodyText"/>
        <w:spacing w:before="5"/>
        <w:rPr>
          <w:sz w:val="22"/>
        </w:rPr>
      </w:pPr>
    </w:p>
    <w:p>
      <w:pPr>
        <w:pStyle w:val="BodyText"/>
        <w:ind w:left="119"/>
      </w:pPr>
      <w:r>
        <w:rPr/>
        <w:t>WHEREAS, our current contract expires on November 1</w:t>
      </w:r>
      <w:r>
        <w:rPr>
          <w:position w:val="9"/>
          <w:sz w:val="16"/>
        </w:rPr>
        <w:t>st</w:t>
      </w:r>
      <w:r>
        <w:rPr/>
        <w:t>, 2026;</w:t>
      </w:r>
      <w:r>
        <w:rPr>
          <w:spacing w:val="-15"/>
        </w:rPr>
        <w:t> </w:t>
      </w:r>
      <w:r>
        <w:rPr/>
        <w:t>and</w:t>
      </w:r>
    </w:p>
    <w:p>
      <w:pPr>
        <w:pStyle w:val="BodyText"/>
      </w:pPr>
    </w:p>
    <w:p>
      <w:pPr>
        <w:pStyle w:val="BodyText"/>
        <w:spacing w:line="480" w:lineRule="auto"/>
        <w:ind w:left="120" w:right="1430"/>
      </w:pPr>
      <w:r>
        <w:rPr/>
        <w:t>WHEREAS, the fixed rate pricing for materials and labor will be as per the attached price list; and WHEREAS, the cost of said renewal is currently budgeted.</w:t>
      </w:r>
    </w:p>
    <w:p>
      <w:pPr>
        <w:pStyle w:val="BodyText"/>
        <w:ind w:left="120" w:right="228"/>
      </w:pPr>
      <w:r>
        <w:rPr/>
        <w:t>THEREFORE BE IT RESOLVED, that the Ingham County Board of Commissioners do hereby authorize the two-year renewal of the monitoring and maintenance from Western Tel-Com for the purpose of on-going as- needed fiber optic network maintenance with fixed rate pricing for labor and materials as per the attached price list.</w:t>
      </w:r>
    </w:p>
    <w:p>
      <w:pPr>
        <w:pStyle w:val="BodyText"/>
      </w:pPr>
    </w:p>
    <w:p>
      <w:pPr>
        <w:pStyle w:val="BodyText"/>
        <w:spacing w:before="1"/>
        <w:ind w:left="120" w:right="937"/>
      </w:pPr>
      <w:r>
        <w:rPr/>
        <w:t>BE IT FURTHER RESOLVED, that the total cost will be paid out of the county’s Network Fund #636- 258.100-818.000.</w:t>
      </w:r>
    </w:p>
    <w:p>
      <w:pPr>
        <w:pStyle w:val="BodyText"/>
        <w:spacing w:before="11"/>
        <w:rPr>
          <w:sz w:val="23"/>
        </w:rPr>
      </w:pPr>
    </w:p>
    <w:p>
      <w:pPr>
        <w:pStyle w:val="BodyText"/>
        <w:ind w:left="120"/>
      </w:pPr>
      <w:r>
        <w:rPr/>
        <w:t>BE IT FURTHER RESOLVED, that the Controller/Administrator is authorized to make any necessary budget adjustments.</w:t>
      </w:r>
    </w:p>
    <w:p>
      <w:pPr>
        <w:pStyle w:val="BodyText"/>
      </w:pPr>
    </w:p>
    <w:p>
      <w:pPr>
        <w:pStyle w:val="BodyText"/>
        <w:ind w:left="120" w:right="860"/>
        <w:jc w:val="both"/>
      </w:pPr>
      <w:r>
        <w:rPr/>
        <w:t>BE IT FURTHER RESOLVED, that the Chairperson of the Ingham County Board of Commissioners is authorized to sign any contract documents consistent with this resolution and approved as to form by the County Attorney.</w:t>
      </w:r>
    </w:p>
    <w:p>
      <w:pPr>
        <w:pStyle w:val="BodyText"/>
      </w:pPr>
    </w:p>
    <w:p>
      <w:pPr>
        <w:spacing w:before="0"/>
        <w:ind w:left="120" w:right="0" w:firstLine="0"/>
        <w:jc w:val="both"/>
        <w:rPr>
          <w:sz w:val="24"/>
        </w:rPr>
      </w:pPr>
      <w:r>
        <w:rPr>
          <w:b/>
          <w:sz w:val="24"/>
        </w:rPr>
        <w:t>COUNTY SERVICES: Yeas: </w:t>
      </w:r>
      <w:r>
        <w:rPr>
          <w:sz w:val="24"/>
        </w:rPr>
        <w:t>Pratt, Lawrence, Grebner, Sebolt, Peña, Johnson, Maiville</w:t>
      </w:r>
    </w:p>
    <w:p>
      <w:pPr>
        <w:tabs>
          <w:tab w:pos="2231" w:val="left" w:leader="none"/>
          <w:tab w:pos="3938"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Ruest</w:t>
        <w:tab/>
      </w:r>
      <w:r>
        <w:rPr>
          <w:b/>
          <w:sz w:val="24"/>
        </w:rPr>
        <w:t>Approved</w:t>
      </w:r>
      <w:r>
        <w:rPr>
          <w:b/>
          <w:spacing w:val="1"/>
          <w:sz w:val="24"/>
        </w:rPr>
        <w:t> </w:t>
      </w:r>
      <w:r>
        <w:rPr>
          <w:b/>
          <w:sz w:val="24"/>
        </w:rPr>
        <w:t>10/20/26</w:t>
      </w:r>
    </w:p>
    <w:p>
      <w:pPr>
        <w:pStyle w:val="BodyText"/>
        <w:rPr>
          <w:b/>
        </w:rPr>
      </w:pPr>
    </w:p>
    <w:p>
      <w:pPr>
        <w:spacing w:before="0"/>
        <w:ind w:left="120" w:right="0" w:firstLine="0"/>
        <w:jc w:val="both"/>
        <w:rPr>
          <w:sz w:val="24"/>
        </w:rPr>
      </w:pPr>
      <w:r>
        <w:rPr>
          <w:b/>
          <w:sz w:val="24"/>
        </w:rPr>
        <w:t>FINANCE: Yeas: </w:t>
      </w:r>
      <w:r>
        <w:rPr>
          <w:sz w:val="24"/>
        </w:rPr>
        <w:t>Grebner, Morgan, Sebolt, Polsdofer, Pratt, Maiville</w:t>
      </w:r>
    </w:p>
    <w:p>
      <w:pPr>
        <w:tabs>
          <w:tab w:pos="2183" w:val="left" w:leader="none"/>
        </w:tabs>
        <w:spacing w:before="44"/>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p>
      <w:pPr>
        <w:spacing w:after="0"/>
        <w:jc w:val="left"/>
        <w:rPr>
          <w:sz w:val="24"/>
        </w:rPr>
        <w:sectPr>
          <w:type w:val="continuous"/>
          <w:pgSz w:w="12240" w:h="15840"/>
          <w:pgMar w:top="1360" w:bottom="280" w:left="600" w:right="620"/>
        </w:sectPr>
      </w:pPr>
    </w:p>
    <w:p>
      <w:pPr>
        <w:pStyle w:val="BodyText"/>
        <w:spacing w:before="79"/>
        <w:ind w:left="3950" w:right="3899" w:firstLine="424"/>
      </w:pPr>
      <w:r>
        <w:rPr/>
        <w:t>Attachment – Price List 2026 - 2028 Unit Price Schedule</w:t>
      </w:r>
    </w:p>
    <w:p>
      <w:pPr>
        <w:pStyle w:val="BodyText"/>
        <w:rPr>
          <w:sz w:val="26"/>
        </w:rPr>
      </w:pPr>
    </w:p>
    <w:p>
      <w:pPr>
        <w:pStyle w:val="BodyText"/>
        <w:rPr>
          <w:sz w:val="22"/>
        </w:rPr>
      </w:pPr>
    </w:p>
    <w:p>
      <w:pPr>
        <w:pStyle w:val="BodyText"/>
        <w:ind w:left="1111"/>
      </w:pPr>
      <w:r>
        <w:rPr/>
        <w:t>NOTES:</w:t>
      </w:r>
    </w:p>
    <w:p>
      <w:pPr>
        <w:pStyle w:val="BodyText"/>
        <w:ind w:left="1111" w:right="4796"/>
      </w:pPr>
      <w:r>
        <w:rPr/>
        <w:t>Rates are based on hours from 7:00 a.m. to 3:30 p.m. Emergency during regular hours - Additional 10%</w:t>
      </w:r>
    </w:p>
    <w:p>
      <w:pPr>
        <w:pStyle w:val="BodyText"/>
        <w:ind w:left="1111" w:right="2657"/>
      </w:pPr>
      <w:r>
        <w:rPr/>
        <w:t>Emergency after regular hours Monday through Saturday - Additional 50% Emergency during Sundays &amp; Holidays - Additional 100%</w:t>
      </w:r>
    </w:p>
    <w:p>
      <w:pPr>
        <w:pStyle w:val="BodyText"/>
        <w:ind w:left="1111"/>
      </w:pPr>
      <w:r>
        <w:rPr/>
        <w:t>Crew Rates can increase 2% annually</w:t>
      </w:r>
    </w:p>
    <w:p>
      <w:pPr>
        <w:pStyle w:val="BodyText"/>
        <w:rPr>
          <w:sz w:val="20"/>
        </w:rPr>
      </w:pPr>
    </w:p>
    <w:p>
      <w:pPr>
        <w:pStyle w:val="BodyText"/>
        <w:spacing w:before="10"/>
        <w:rPr>
          <w:sz w:val="28"/>
        </w:rPr>
      </w:pPr>
    </w:p>
    <w:tbl>
      <w:tblPr>
        <w:tblW w:w="0" w:type="auto"/>
        <w:jc w:val="left"/>
        <w:tblInd w:w="1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11"/>
        <w:gridCol w:w="2098"/>
        <w:gridCol w:w="740"/>
      </w:tblGrid>
      <w:tr>
        <w:trPr>
          <w:trHeight w:val="270" w:hRule="atLeast"/>
        </w:trPr>
        <w:tc>
          <w:tcPr>
            <w:tcW w:w="3411" w:type="dxa"/>
          </w:tcPr>
          <w:p>
            <w:pPr>
              <w:pStyle w:val="TableParagraph"/>
              <w:spacing w:line="251" w:lineRule="exact"/>
              <w:ind w:left="50"/>
              <w:rPr>
                <w:sz w:val="24"/>
              </w:rPr>
            </w:pPr>
            <w:r>
              <w:rPr>
                <w:sz w:val="24"/>
              </w:rPr>
              <w:t>Screening Tickets</w:t>
            </w:r>
          </w:p>
        </w:tc>
        <w:tc>
          <w:tcPr>
            <w:tcW w:w="2098" w:type="dxa"/>
          </w:tcPr>
          <w:p>
            <w:pPr>
              <w:pStyle w:val="TableParagraph"/>
              <w:spacing w:line="251" w:lineRule="exact"/>
              <w:ind w:left="687"/>
              <w:rPr>
                <w:sz w:val="24"/>
              </w:rPr>
            </w:pPr>
            <w:r>
              <w:rPr>
                <w:sz w:val="24"/>
              </w:rPr>
              <w:t>per</w:t>
            </w:r>
          </w:p>
        </w:tc>
        <w:tc>
          <w:tcPr>
            <w:tcW w:w="740" w:type="dxa"/>
          </w:tcPr>
          <w:p>
            <w:pPr>
              <w:pStyle w:val="TableParagraph"/>
              <w:spacing w:line="251" w:lineRule="exact"/>
              <w:ind w:left="29"/>
              <w:rPr>
                <w:sz w:val="24"/>
              </w:rPr>
            </w:pPr>
            <w:r>
              <w:rPr>
                <w:sz w:val="24"/>
              </w:rPr>
              <w:t>$7.00</w:t>
            </w:r>
          </w:p>
        </w:tc>
      </w:tr>
      <w:tr>
        <w:trPr>
          <w:trHeight w:val="275" w:hRule="atLeast"/>
        </w:trPr>
        <w:tc>
          <w:tcPr>
            <w:tcW w:w="3411" w:type="dxa"/>
          </w:tcPr>
          <w:p>
            <w:pPr>
              <w:pStyle w:val="TableParagraph"/>
              <w:ind w:left="50"/>
              <w:rPr>
                <w:sz w:val="24"/>
              </w:rPr>
            </w:pPr>
            <w:r>
              <w:rPr>
                <w:sz w:val="24"/>
              </w:rPr>
              <w:t>Staking (Minimum 1hr)</w:t>
            </w:r>
          </w:p>
        </w:tc>
        <w:tc>
          <w:tcPr>
            <w:tcW w:w="2098" w:type="dxa"/>
          </w:tcPr>
          <w:p>
            <w:pPr>
              <w:pStyle w:val="TableParagraph"/>
              <w:ind w:left="687"/>
              <w:rPr>
                <w:sz w:val="24"/>
              </w:rPr>
            </w:pPr>
            <w:r>
              <w:rPr>
                <w:sz w:val="24"/>
              </w:rPr>
              <w:t>per hour</w:t>
            </w:r>
          </w:p>
        </w:tc>
        <w:tc>
          <w:tcPr>
            <w:tcW w:w="740" w:type="dxa"/>
          </w:tcPr>
          <w:p>
            <w:pPr>
              <w:pStyle w:val="TableParagraph"/>
              <w:ind w:left="29"/>
              <w:rPr>
                <w:sz w:val="24"/>
              </w:rPr>
            </w:pPr>
            <w:r>
              <w:rPr>
                <w:sz w:val="24"/>
              </w:rPr>
              <w:t>$72.00</w:t>
            </w:r>
          </w:p>
        </w:tc>
      </w:tr>
      <w:tr>
        <w:trPr>
          <w:trHeight w:val="275" w:hRule="atLeast"/>
        </w:trPr>
        <w:tc>
          <w:tcPr>
            <w:tcW w:w="3411" w:type="dxa"/>
          </w:tcPr>
          <w:p>
            <w:pPr>
              <w:pStyle w:val="TableParagraph"/>
              <w:ind w:left="50"/>
              <w:rPr>
                <w:sz w:val="24"/>
              </w:rPr>
            </w:pPr>
            <w:r>
              <w:rPr>
                <w:sz w:val="24"/>
              </w:rPr>
              <w:t>Site Visit (Minimum 1hr)</w:t>
            </w:r>
          </w:p>
        </w:tc>
        <w:tc>
          <w:tcPr>
            <w:tcW w:w="2098" w:type="dxa"/>
          </w:tcPr>
          <w:p>
            <w:pPr>
              <w:pStyle w:val="TableParagraph"/>
              <w:ind w:left="687"/>
              <w:rPr>
                <w:sz w:val="24"/>
              </w:rPr>
            </w:pPr>
            <w:r>
              <w:rPr>
                <w:sz w:val="24"/>
              </w:rPr>
              <w:t>per hour</w:t>
            </w:r>
          </w:p>
        </w:tc>
        <w:tc>
          <w:tcPr>
            <w:tcW w:w="740" w:type="dxa"/>
          </w:tcPr>
          <w:p>
            <w:pPr>
              <w:pStyle w:val="TableParagraph"/>
              <w:ind w:left="29"/>
              <w:rPr>
                <w:sz w:val="24"/>
              </w:rPr>
            </w:pPr>
            <w:r>
              <w:rPr>
                <w:sz w:val="24"/>
              </w:rPr>
              <w:t>$72.00</w:t>
            </w:r>
          </w:p>
        </w:tc>
      </w:tr>
      <w:tr>
        <w:trPr>
          <w:trHeight w:val="270" w:hRule="atLeast"/>
        </w:trPr>
        <w:tc>
          <w:tcPr>
            <w:tcW w:w="3411" w:type="dxa"/>
          </w:tcPr>
          <w:p>
            <w:pPr>
              <w:pStyle w:val="TableParagraph"/>
              <w:spacing w:line="251" w:lineRule="exact"/>
              <w:ind w:left="50"/>
              <w:rPr>
                <w:sz w:val="24"/>
              </w:rPr>
            </w:pPr>
            <w:r>
              <w:rPr>
                <w:sz w:val="24"/>
              </w:rPr>
              <w:t>Emergency After Hour Call</w:t>
            </w:r>
          </w:p>
        </w:tc>
        <w:tc>
          <w:tcPr>
            <w:tcW w:w="2098" w:type="dxa"/>
          </w:tcPr>
          <w:p>
            <w:pPr>
              <w:pStyle w:val="TableParagraph"/>
              <w:spacing w:line="251" w:lineRule="exact"/>
              <w:ind w:left="687"/>
              <w:rPr>
                <w:sz w:val="24"/>
              </w:rPr>
            </w:pPr>
            <w:r>
              <w:rPr>
                <w:sz w:val="24"/>
              </w:rPr>
              <w:t>per call$55.00</w:t>
            </w:r>
          </w:p>
        </w:tc>
        <w:tc>
          <w:tcPr>
            <w:tcW w:w="740" w:type="dxa"/>
          </w:tcPr>
          <w:p>
            <w:pPr>
              <w:pStyle w:val="TableParagraph"/>
              <w:spacing w:line="240" w:lineRule="auto"/>
              <w:rPr>
                <w:sz w:val="20"/>
              </w:rPr>
            </w:pPr>
          </w:p>
        </w:tc>
      </w:tr>
    </w:tbl>
    <w:p>
      <w:pPr>
        <w:pStyle w:val="BodyText"/>
        <w:tabs>
          <w:tab w:pos="5159" w:val="left" w:leader="none"/>
        </w:tabs>
        <w:spacing w:line="480" w:lineRule="auto"/>
        <w:ind w:left="1111" w:right="4179"/>
      </w:pPr>
      <w:r>
        <w:rPr/>
        <w:pict>
          <v:shapetype id="_x0000_t202" o:spt="202" coordsize="21600,21600" path="m,l,21600r21600,l21600,xe">
            <v:stroke joinstyle="miter"/>
            <v:path gradientshapeok="t" o:connecttype="rect"/>
          </v:shapetype>
          <v:shape style="position:absolute;margin-left:83.059998pt;margin-top:41.909775pt;width:318.45pt;height:54.7pt;mso-position-horizontal-relative:page;mso-position-vertical-relative:paragraph;z-index:251658240"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50"/>
                    <w:gridCol w:w="1771"/>
                    <w:gridCol w:w="1147"/>
                  </w:tblGrid>
                  <w:tr>
                    <w:trPr>
                      <w:trHeight w:val="270" w:hRule="atLeast"/>
                    </w:trPr>
                    <w:tc>
                      <w:tcPr>
                        <w:tcW w:w="3450" w:type="dxa"/>
                      </w:tcPr>
                      <w:p>
                        <w:pPr>
                          <w:pStyle w:val="TableParagraph"/>
                          <w:spacing w:line="251" w:lineRule="exact"/>
                          <w:ind w:left="50"/>
                          <w:rPr>
                            <w:sz w:val="24"/>
                          </w:rPr>
                        </w:pPr>
                        <w:r>
                          <w:rPr>
                            <w:sz w:val="24"/>
                          </w:rPr>
                          <w:t>Supervisor</w:t>
                        </w:r>
                      </w:p>
                    </w:tc>
                    <w:tc>
                      <w:tcPr>
                        <w:tcW w:w="1771" w:type="dxa"/>
                      </w:tcPr>
                      <w:p>
                        <w:pPr>
                          <w:pStyle w:val="TableParagraph"/>
                          <w:spacing w:line="251" w:lineRule="exact"/>
                          <w:ind w:right="315"/>
                          <w:jc w:val="right"/>
                          <w:rPr>
                            <w:sz w:val="24"/>
                          </w:rPr>
                        </w:pPr>
                        <w:r>
                          <w:rPr>
                            <w:sz w:val="24"/>
                          </w:rPr>
                          <w:t>per hour</w:t>
                        </w:r>
                      </w:p>
                    </w:tc>
                    <w:tc>
                      <w:tcPr>
                        <w:tcW w:w="1147" w:type="dxa"/>
                      </w:tcPr>
                      <w:p>
                        <w:pPr>
                          <w:pStyle w:val="TableParagraph"/>
                          <w:spacing w:line="251" w:lineRule="exact"/>
                          <w:ind w:right="47"/>
                          <w:jc w:val="right"/>
                          <w:rPr>
                            <w:sz w:val="24"/>
                          </w:rPr>
                        </w:pPr>
                        <w:r>
                          <w:rPr>
                            <w:sz w:val="24"/>
                          </w:rPr>
                          <w:t>$110.00</w:t>
                        </w:r>
                      </w:p>
                    </w:tc>
                  </w:tr>
                  <w:tr>
                    <w:trPr>
                      <w:trHeight w:val="275" w:hRule="atLeast"/>
                    </w:trPr>
                    <w:tc>
                      <w:tcPr>
                        <w:tcW w:w="3450" w:type="dxa"/>
                      </w:tcPr>
                      <w:p>
                        <w:pPr>
                          <w:pStyle w:val="TableParagraph"/>
                          <w:ind w:left="50"/>
                          <w:rPr>
                            <w:sz w:val="24"/>
                          </w:rPr>
                        </w:pPr>
                        <w:r>
                          <w:rPr>
                            <w:sz w:val="24"/>
                          </w:rPr>
                          <w:t>2 Person Underground Crew</w:t>
                        </w:r>
                      </w:p>
                    </w:tc>
                    <w:tc>
                      <w:tcPr>
                        <w:tcW w:w="1771" w:type="dxa"/>
                      </w:tcPr>
                      <w:p>
                        <w:pPr>
                          <w:pStyle w:val="TableParagraph"/>
                          <w:ind w:right="315"/>
                          <w:jc w:val="right"/>
                          <w:rPr>
                            <w:sz w:val="24"/>
                          </w:rPr>
                        </w:pPr>
                        <w:r>
                          <w:rPr>
                            <w:sz w:val="24"/>
                          </w:rPr>
                          <w:t>per hour</w:t>
                        </w:r>
                      </w:p>
                    </w:tc>
                    <w:tc>
                      <w:tcPr>
                        <w:tcW w:w="1147" w:type="dxa"/>
                      </w:tcPr>
                      <w:p>
                        <w:pPr>
                          <w:pStyle w:val="TableParagraph"/>
                          <w:ind w:right="47"/>
                          <w:jc w:val="right"/>
                          <w:rPr>
                            <w:sz w:val="24"/>
                          </w:rPr>
                        </w:pPr>
                        <w:r>
                          <w:rPr>
                            <w:sz w:val="24"/>
                          </w:rPr>
                          <w:t>$299.00</w:t>
                        </w:r>
                      </w:p>
                    </w:tc>
                  </w:tr>
                  <w:tr>
                    <w:trPr>
                      <w:trHeight w:val="276" w:hRule="atLeast"/>
                    </w:trPr>
                    <w:tc>
                      <w:tcPr>
                        <w:tcW w:w="3450" w:type="dxa"/>
                      </w:tcPr>
                      <w:p>
                        <w:pPr>
                          <w:pStyle w:val="TableParagraph"/>
                          <w:ind w:left="50"/>
                          <w:rPr>
                            <w:sz w:val="24"/>
                          </w:rPr>
                        </w:pPr>
                        <w:r>
                          <w:rPr>
                            <w:sz w:val="24"/>
                          </w:rPr>
                          <w:t>2 Person Aerial Crew</w:t>
                        </w:r>
                      </w:p>
                    </w:tc>
                    <w:tc>
                      <w:tcPr>
                        <w:tcW w:w="1771" w:type="dxa"/>
                      </w:tcPr>
                      <w:p>
                        <w:pPr>
                          <w:pStyle w:val="TableParagraph"/>
                          <w:ind w:right="315"/>
                          <w:jc w:val="right"/>
                          <w:rPr>
                            <w:sz w:val="24"/>
                          </w:rPr>
                        </w:pPr>
                        <w:r>
                          <w:rPr>
                            <w:sz w:val="24"/>
                          </w:rPr>
                          <w:t>per hour</w:t>
                        </w:r>
                      </w:p>
                    </w:tc>
                    <w:tc>
                      <w:tcPr>
                        <w:tcW w:w="1147" w:type="dxa"/>
                      </w:tcPr>
                      <w:p>
                        <w:pPr>
                          <w:pStyle w:val="TableParagraph"/>
                          <w:ind w:right="47"/>
                          <w:jc w:val="right"/>
                          <w:rPr>
                            <w:sz w:val="24"/>
                          </w:rPr>
                        </w:pPr>
                        <w:r>
                          <w:rPr>
                            <w:sz w:val="24"/>
                          </w:rPr>
                          <w:t>$240.00</w:t>
                        </w:r>
                      </w:p>
                    </w:tc>
                  </w:tr>
                  <w:tr>
                    <w:trPr>
                      <w:trHeight w:val="270" w:hRule="atLeast"/>
                    </w:trPr>
                    <w:tc>
                      <w:tcPr>
                        <w:tcW w:w="3450" w:type="dxa"/>
                      </w:tcPr>
                      <w:p>
                        <w:pPr>
                          <w:pStyle w:val="TableParagraph"/>
                          <w:spacing w:line="251" w:lineRule="exact"/>
                          <w:ind w:left="50"/>
                          <w:rPr>
                            <w:sz w:val="24"/>
                          </w:rPr>
                        </w:pPr>
                        <w:r>
                          <w:rPr>
                            <w:sz w:val="24"/>
                          </w:rPr>
                          <w:t>1 Person Splice Crew</w:t>
                        </w:r>
                      </w:p>
                    </w:tc>
                    <w:tc>
                      <w:tcPr>
                        <w:tcW w:w="1771" w:type="dxa"/>
                      </w:tcPr>
                      <w:p>
                        <w:pPr>
                          <w:pStyle w:val="TableParagraph"/>
                          <w:spacing w:line="251" w:lineRule="exact"/>
                          <w:ind w:right="315"/>
                          <w:jc w:val="right"/>
                          <w:rPr>
                            <w:sz w:val="24"/>
                          </w:rPr>
                        </w:pPr>
                        <w:r>
                          <w:rPr>
                            <w:sz w:val="24"/>
                          </w:rPr>
                          <w:t>per hour</w:t>
                        </w:r>
                      </w:p>
                    </w:tc>
                    <w:tc>
                      <w:tcPr>
                        <w:tcW w:w="1147" w:type="dxa"/>
                      </w:tcPr>
                      <w:p>
                        <w:pPr>
                          <w:pStyle w:val="TableParagraph"/>
                          <w:spacing w:line="251" w:lineRule="exact"/>
                          <w:ind w:right="47"/>
                          <w:jc w:val="right"/>
                          <w:rPr>
                            <w:sz w:val="24"/>
                          </w:rPr>
                        </w:pPr>
                        <w:r>
                          <w:rPr>
                            <w:sz w:val="24"/>
                          </w:rPr>
                          <w:t>$125.00</w:t>
                        </w:r>
                      </w:p>
                    </w:tc>
                  </w:tr>
                </w:tbl>
                <w:p>
                  <w:pPr>
                    <w:pStyle w:val="BodyText"/>
                  </w:pPr>
                </w:p>
              </w:txbxContent>
            </v:textbox>
            <w10:wrap type="none"/>
          </v:shape>
        </w:pict>
      </w:r>
      <w:r>
        <w:rPr/>
        <w:t>On Call Staking and</w:t>
      </w:r>
      <w:r>
        <w:rPr>
          <w:spacing w:val="-6"/>
        </w:rPr>
        <w:t> </w:t>
      </w:r>
      <w:r>
        <w:rPr/>
        <w:t>Emergency</w:t>
      </w:r>
      <w:r>
        <w:rPr>
          <w:spacing w:val="-5"/>
        </w:rPr>
        <w:t> </w:t>
      </w:r>
      <w:r>
        <w:rPr/>
        <w:t>Crews</w:t>
        <w:tab/>
        <w:t>Annual$2,500.00 In the event of an outage/emergency restoration</w:t>
      </w:r>
      <w:r>
        <w:rPr>
          <w:spacing w:val="-7"/>
        </w:rPr>
        <w:t> </w:t>
      </w:r>
      <w:r>
        <w:rPr/>
        <w:t>call:</w:t>
      </w:r>
    </w:p>
    <w:sectPr>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62" w:right="242"/>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line="256" w:lineRule="exac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2026-10-28T18:53:21Z</dcterms:created>
  <dcterms:modified xsi:type="dcterms:W3CDTF">2026-10-28T18:53:21Z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